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textAlignment w:val="baseline"/>
        <w:outlineLvl w:val="1"/>
        <w:rPr>
          <w:rFonts w:eastAsia="Calibri"/>
          <w:b/>
          <w:sz w:val="24"/>
          <w:szCs w:val="24"/>
          <w:lang w:bidi="ar"/>
        </w:rPr>
      </w:pPr>
      <w:bookmarkStart w:id="1" w:name="_GoBack"/>
      <w:bookmarkEnd w:id="1"/>
      <w:r>
        <w:rPr>
          <w:rFonts w:eastAsia="Times New Roman"/>
          <w:b/>
          <w:color w:val="000000"/>
          <w:sz w:val="24"/>
          <w:szCs w:val="24"/>
          <w:lang w:eastAsia="lv-LV"/>
        </w:rPr>
        <w:t>BDR</w:t>
      </w:r>
      <w:r>
        <w:rPr>
          <w:rFonts w:eastAsia="Times New Roman"/>
          <w:b/>
          <w:color w:val="000000"/>
          <w:sz w:val="24"/>
          <w:szCs w:val="24"/>
          <w:lang w:val="en-US" w:eastAsia="lv-LV"/>
        </w:rPr>
        <w:t>”</w:t>
      </w:r>
      <w:r>
        <w:rPr>
          <w:rFonts w:eastAsia="Times New Roman"/>
          <w:b/>
          <w:color w:val="000000"/>
          <w:sz w:val="24"/>
          <w:szCs w:val="24"/>
          <w:lang w:eastAsia="lv-LV"/>
        </w:rPr>
        <w:t xml:space="preserve"> Ludzas rajona partnerība</w:t>
      </w:r>
      <w:r>
        <w:rPr>
          <w:rFonts w:eastAsia="Times New Roman"/>
          <w:b/>
          <w:color w:val="000000"/>
          <w:sz w:val="24"/>
          <w:szCs w:val="24"/>
          <w:lang w:val="en-US" w:eastAsia="lv-LV"/>
        </w:rPr>
        <w:t>”</w:t>
      </w:r>
      <w:r>
        <w:rPr>
          <w:rFonts w:eastAsia="Times New Roman"/>
          <w:b/>
          <w:color w:val="000000"/>
          <w:sz w:val="24"/>
          <w:szCs w:val="24"/>
          <w:lang w:eastAsia="lv-LV"/>
        </w:rPr>
        <w:t xml:space="preserve"> organizē semināru </w:t>
      </w:r>
      <w:r>
        <w:rPr>
          <w:rFonts w:eastAsia="Times New Roman"/>
          <w:b/>
          <w:color w:val="000000"/>
          <w:sz w:val="24"/>
          <w:szCs w:val="24"/>
          <w:lang w:val="en-US" w:eastAsia="lv-LV"/>
        </w:rPr>
        <w:t>“</w:t>
      </w:r>
      <w:r>
        <w:rPr>
          <w:rFonts w:eastAsia="Calibri"/>
          <w:b/>
          <w:sz w:val="24"/>
          <w:szCs w:val="24"/>
          <w:lang w:val="lv" w:bidi="ar"/>
        </w:rPr>
        <w:t>Pašnodarbināto reģistrācija, grāmatvedība un nodokļi</w:t>
      </w:r>
      <w:r>
        <w:rPr>
          <w:rFonts w:eastAsia="Calibri"/>
          <w:b/>
          <w:sz w:val="24"/>
          <w:szCs w:val="24"/>
          <w:lang w:bidi="ar"/>
        </w:rPr>
        <w:t xml:space="preserve"> </w:t>
      </w:r>
      <w:r>
        <w:rPr>
          <w:rFonts w:eastAsia="Calibri"/>
          <w:b/>
          <w:sz w:val="24"/>
          <w:szCs w:val="24"/>
          <w:lang w:val="lv" w:bidi="ar"/>
        </w:rPr>
        <w:t>jeb kas jādara, ja hobijs kļūst par saimniecisko darbību”</w:t>
      </w:r>
    </w:p>
    <w:p>
      <w:pPr>
        <w:spacing w:after="0" w:line="240" w:lineRule="auto"/>
        <w:jc w:val="center"/>
        <w:textAlignment w:val="baseline"/>
        <w:outlineLvl w:val="1"/>
        <w:rPr>
          <w:rFonts w:eastAsia="Times New Roman"/>
          <w:b/>
          <w:color w:val="000000"/>
          <w:sz w:val="24"/>
          <w:szCs w:val="24"/>
          <w:lang w:eastAsia="lv-LV"/>
        </w:rPr>
      </w:pPr>
    </w:p>
    <w:p>
      <w:pPr>
        <w:spacing w:after="0" w:line="240" w:lineRule="auto"/>
        <w:rPr>
          <w:rFonts w:eastAsia="Times New Roman"/>
          <w:b/>
          <w:color w:val="000000"/>
          <w:sz w:val="24"/>
          <w:szCs w:val="24"/>
          <w:lang w:eastAsia="lv-LV"/>
        </w:rPr>
      </w:pPr>
    </w:p>
    <w:p>
      <w:pPr>
        <w:spacing w:after="0" w:line="240" w:lineRule="auto"/>
        <w:rPr>
          <w:rFonts w:eastAsia="Times New Roman"/>
          <w:color w:val="000000"/>
          <w:lang w:eastAsia="lv-LV"/>
        </w:rPr>
      </w:pPr>
      <w:r>
        <w:rPr>
          <w:rFonts w:eastAsia="Times New Roman"/>
          <w:b/>
          <w:bCs/>
          <w:color w:val="000000"/>
          <w:lang w:eastAsia="lv-LV"/>
        </w:rPr>
        <w:t>Laiks:</w:t>
      </w:r>
      <w:r>
        <w:rPr>
          <w:rFonts w:eastAsia="Times New Roman"/>
          <w:color w:val="000000"/>
          <w:lang w:eastAsia="lv-LV"/>
        </w:rPr>
        <w:t> 2024.gada 15.februāris plkst. 13.00 – 17.00.</w:t>
      </w:r>
      <w:r>
        <w:rPr>
          <w:rFonts w:eastAsia="Times New Roman"/>
          <w:color w:val="000000"/>
          <w:lang w:eastAsia="lv-LV"/>
        </w:rPr>
        <w:br w:type="textWrapping"/>
      </w:r>
      <w:r>
        <w:rPr>
          <w:rFonts w:eastAsia="Times New Roman"/>
          <w:b/>
          <w:bCs/>
          <w:color w:val="000000"/>
          <w:lang w:eastAsia="lv-LV"/>
        </w:rPr>
        <w:t>Vieta:</w:t>
      </w:r>
      <w:r>
        <w:rPr>
          <w:rFonts w:eastAsia="Times New Roman"/>
          <w:color w:val="000000"/>
          <w:lang w:eastAsia="lv-LV"/>
        </w:rPr>
        <w:t> Zoom tiešsaistē.</w:t>
      </w:r>
    </w:p>
    <w:p>
      <w:pPr>
        <w:spacing w:after="0" w:line="240" w:lineRule="auto"/>
        <w:rPr>
          <w:rFonts w:eastAsia="Times New Roman"/>
          <w:bCs/>
          <w:color w:val="000000"/>
          <w:lang w:eastAsia="lv-LV"/>
        </w:rPr>
      </w:pPr>
      <w:r>
        <w:rPr>
          <w:rFonts w:eastAsia="Times New Roman"/>
          <w:lang w:eastAsia="lv-LV"/>
        </w:rPr>
        <w:t xml:space="preserve"> </w:t>
      </w:r>
      <w:r>
        <w:rPr>
          <w:rFonts w:eastAsia="Times New Roman"/>
          <w:bCs/>
          <w:color w:val="000000"/>
          <w:lang w:eastAsia="lv-LV"/>
        </w:rPr>
        <w:t>Pieslēgšanās Zoom no 12.30 (lūgums savlaicīgi veikt pieslēgšanos un sagatavoties darbam!).</w:t>
      </w:r>
    </w:p>
    <w:p>
      <w:pPr>
        <w:spacing w:after="0" w:line="240" w:lineRule="auto"/>
        <w:rPr>
          <w:rFonts w:eastAsia="Times New Roman"/>
          <w:bCs/>
          <w:color w:val="000000"/>
          <w:lang w:eastAsia="lv-LV"/>
        </w:rPr>
      </w:pPr>
    </w:p>
    <w:p>
      <w:pPr>
        <w:shd w:val="clear" w:color="auto" w:fill="FFFFFF"/>
        <w:spacing w:after="0" w:line="240" w:lineRule="auto"/>
        <w:textAlignment w:val="baseline"/>
        <w:rPr>
          <w:rFonts w:eastAsia="Times New Roman"/>
          <w:b/>
          <w:bCs/>
          <w:color w:val="000000"/>
          <w:lang w:eastAsia="lv-LV"/>
        </w:rPr>
      </w:pPr>
      <w:r>
        <w:rPr>
          <w:rFonts w:eastAsia="Times New Roman"/>
          <w:b/>
          <w:bCs/>
          <w:color w:val="000000"/>
          <w:lang w:eastAsia="lv-LV"/>
        </w:rPr>
        <w:t>Seminārā tiks apskatītas tēmas:</w:t>
      </w:r>
    </w:p>
    <w:p>
      <w:pPr>
        <w:shd w:val="clear" w:color="auto" w:fill="FFFFFF"/>
        <w:spacing w:after="0" w:line="240" w:lineRule="auto"/>
        <w:textAlignment w:val="baseline"/>
        <w:rPr>
          <w:rFonts w:eastAsia="Times New Roman"/>
          <w:lang w:eastAsia="lv-LV"/>
        </w:rPr>
      </w:pPr>
      <w:r>
        <w:rPr>
          <w:rFonts w:eastAsia="Times New Roman"/>
          <w:lang w:eastAsia="lv-LV"/>
        </w:rPr>
        <w:t xml:space="preserve">13.00 </w:t>
      </w:r>
    </w:p>
    <w:p>
      <w:pPr>
        <w:spacing w:after="0" w:line="240" w:lineRule="auto"/>
        <w:rPr>
          <w:rFonts w:eastAsia="Times New Roman"/>
          <w:lang w:eastAsia="lv-LV"/>
        </w:rPr>
      </w:pPr>
      <w:r>
        <w:rPr>
          <w:rFonts w:eastAsia="Times New Roman"/>
          <w:lang w:eastAsia="lv-LV"/>
        </w:rPr>
        <w:t>Ludzas rajona partnerība, atbalsts uzņēmējdarbības uzsākšanai. Metodika “Lauku biļete”.</w:t>
      </w:r>
    </w:p>
    <w:p>
      <w:pPr>
        <w:spacing w:after="0" w:line="240" w:lineRule="auto"/>
        <w:rPr>
          <w:rFonts w:eastAsia="Times New Roman"/>
          <w:strike/>
          <w:color w:val="000000"/>
          <w:lang w:eastAsia="lv-LV"/>
        </w:rPr>
      </w:pPr>
    </w:p>
    <w:p>
      <w:pPr>
        <w:spacing w:after="0" w:line="240" w:lineRule="auto"/>
        <w:textAlignment w:val="baseline"/>
        <w:outlineLvl w:val="1"/>
      </w:pPr>
      <w:r>
        <w:t xml:space="preserve">13.15  </w:t>
      </w:r>
    </w:p>
    <w:p>
      <w:pPr>
        <w:spacing w:line="240" w:lineRule="auto"/>
        <w:rPr>
          <w:rFonts w:eastAsia="Calibri"/>
          <w:lang w:val="lv" w:eastAsia="zh-CN" w:bidi="ar"/>
        </w:rPr>
      </w:pPr>
      <w:r>
        <w:rPr>
          <w:rFonts w:eastAsia="Calibri"/>
          <w:lang w:val="lv" w:eastAsia="zh-CN" w:bidi="ar"/>
        </w:rPr>
        <w:t>1. Saimnieciskās darbības tiesiskais pamats</w:t>
      </w:r>
      <w:r>
        <w:rPr>
          <w:rFonts w:eastAsia="Calibri"/>
          <w:lang w:val="lv" w:eastAsia="zh-CN" w:bidi="ar"/>
        </w:rPr>
        <w:br w:type="textWrapping"/>
      </w:r>
      <w:r>
        <w:rPr>
          <w:rFonts w:eastAsia="Calibri"/>
          <w:lang w:val="lv" w:eastAsia="zh-CN" w:bidi="ar"/>
        </w:rPr>
        <w:t>• Kad saimnieciskā darbība jāreģistrē obligāti, kad to drīkst nereģistrēt</w:t>
      </w:r>
      <w:r>
        <w:rPr>
          <w:rFonts w:eastAsia="Calibri"/>
          <w:lang w:val="lv" w:eastAsia="zh-CN" w:bidi="ar"/>
        </w:rPr>
        <w:br w:type="textWrapping"/>
      </w:r>
      <w:r>
        <w:rPr>
          <w:rFonts w:eastAsia="Calibri"/>
          <w:lang w:val="lv" w:eastAsia="zh-CN" w:bidi="ar"/>
        </w:rPr>
        <w:t>• Saimnieciskās darbības reģistrēšanas kārtība</w:t>
      </w:r>
      <w:r>
        <w:rPr>
          <w:rFonts w:eastAsia="Calibri"/>
          <w:lang w:val="lv" w:eastAsia="zh-CN" w:bidi="ar"/>
        </w:rPr>
        <w:br w:type="textWrapping"/>
      </w:r>
      <w:r>
        <w:rPr>
          <w:rFonts w:eastAsia="Calibri"/>
          <w:lang w:val="lv" w:eastAsia="zh-CN" w:bidi="ar"/>
        </w:rPr>
        <w:t>2. Dažādi nodokļu maksāšanas režīmi</w:t>
      </w:r>
      <w:r>
        <w:rPr>
          <w:rFonts w:eastAsia="Calibri"/>
          <w:lang w:val="lv" w:eastAsia="zh-CN" w:bidi="ar"/>
        </w:rPr>
        <w:br w:type="textWrapping"/>
      </w:r>
      <w:r>
        <w:rPr>
          <w:rFonts w:eastAsia="Calibri"/>
          <w:lang w:val="lv" w:eastAsia="zh-CN" w:bidi="ar"/>
        </w:rPr>
        <w:t>• Samazi</w:t>
      </w:r>
      <w:r>
        <w:rPr>
          <w:rFonts w:eastAsia="Calibri"/>
          <w:lang w:eastAsia="zh-CN" w:bidi="ar"/>
        </w:rPr>
        <w:t>n</w:t>
      </w:r>
      <w:r>
        <w:rPr>
          <w:rFonts w:eastAsia="Calibri"/>
          <w:lang w:val="lv" w:eastAsia="zh-CN" w:bidi="ar"/>
        </w:rPr>
        <w:t>ātā patentmaksa</w:t>
      </w:r>
      <w:r>
        <w:rPr>
          <w:rFonts w:eastAsia="Calibri"/>
          <w:lang w:val="lv" w:eastAsia="zh-CN" w:bidi="ar"/>
        </w:rPr>
        <w:br w:type="textWrapping"/>
      </w:r>
      <w:r>
        <w:rPr>
          <w:rFonts w:eastAsia="Calibri"/>
          <w:lang w:val="lv" w:eastAsia="zh-CN" w:bidi="ar"/>
        </w:rPr>
        <w:t>• Mikrouzņēmumu nodoklis</w:t>
      </w:r>
      <w:r>
        <w:rPr>
          <w:rFonts w:eastAsia="Calibri"/>
          <w:lang w:val="lv" w:eastAsia="zh-CN" w:bidi="ar"/>
        </w:rPr>
        <w:br w:type="textWrapping"/>
      </w:r>
      <w:r>
        <w:rPr>
          <w:rFonts w:eastAsia="Calibri"/>
          <w:lang w:val="lv" w:eastAsia="zh-CN" w:bidi="ar"/>
        </w:rPr>
        <w:t>• Nodokļi no autoratlīdzības</w:t>
      </w:r>
      <w:r>
        <w:rPr>
          <w:rFonts w:eastAsia="Calibri"/>
          <w:lang w:val="lv" w:eastAsia="zh-CN" w:bidi="ar"/>
        </w:rPr>
        <w:br w:type="textWrapping"/>
      </w:r>
      <w:r>
        <w:rPr>
          <w:rFonts w:eastAsia="Calibri"/>
          <w:lang w:val="lv" w:eastAsia="zh-CN" w:bidi="ar"/>
        </w:rPr>
        <w:t>• Vispārējā nodokļu maksāšanas kārtība</w:t>
      </w:r>
    </w:p>
    <w:p>
      <w:pPr>
        <w:spacing w:after="0" w:line="240" w:lineRule="auto"/>
        <w:rPr>
          <w:rFonts w:eastAsia="Calibri"/>
          <w:lang w:eastAsia="zh-CN" w:bidi="ar"/>
        </w:rPr>
      </w:pPr>
      <w:r>
        <w:rPr>
          <w:rFonts w:eastAsia="Calibri"/>
          <w:lang w:eastAsia="zh-CN" w:bidi="ar"/>
        </w:rPr>
        <w:t>15.00- 15.15</w:t>
      </w:r>
    </w:p>
    <w:p>
      <w:pPr>
        <w:spacing w:after="0" w:line="240" w:lineRule="auto"/>
        <w:rPr>
          <w:rFonts w:eastAsia="Calibri"/>
          <w:lang w:eastAsia="zh-CN"/>
        </w:rPr>
      </w:pPr>
      <w:r>
        <w:rPr>
          <w:rFonts w:eastAsia="Calibri"/>
          <w:lang w:eastAsia="zh-CN" w:bidi="ar"/>
        </w:rPr>
        <w:t xml:space="preserve"> </w:t>
      </w:r>
      <w:r>
        <w:rPr>
          <w:rFonts w:eastAsia="Calibri"/>
          <w:lang w:eastAsia="zh-CN"/>
        </w:rPr>
        <w:t>Informācija par Latvijas investīciju un attīstības aģentūras piedāvātajiem pakalpojumiem biznesa uzsācējiem.Skaidrīte Baltace LIAA pārstāvniecība Rēzeknē.</w:t>
      </w:r>
    </w:p>
    <w:p>
      <w:pPr>
        <w:spacing w:line="240" w:lineRule="auto"/>
        <w:rPr>
          <w:rFonts w:eastAsia="Times New Roman"/>
          <w:lang w:eastAsia="lv-LV"/>
        </w:rPr>
      </w:pPr>
      <w:r>
        <w:rPr>
          <w:rFonts w:eastAsia="Calibri"/>
          <w:lang w:val="lv" w:eastAsia="zh-CN" w:bidi="ar"/>
        </w:rPr>
        <w:br w:type="textWrapping"/>
      </w:r>
      <w:r>
        <w:rPr>
          <w:rFonts w:eastAsia="Calibri"/>
          <w:lang w:val="lv" w:eastAsia="zh-CN" w:bidi="ar"/>
        </w:rPr>
        <w:t>3. Ieņēmumu un izdevumu uzskaite, iedzīvotāju ienākuma nodokļa aprēķināšana:</w:t>
      </w:r>
      <w:r>
        <w:rPr>
          <w:rFonts w:eastAsia="Calibri"/>
          <w:lang w:val="lv" w:eastAsia="zh-CN" w:bidi="ar"/>
        </w:rPr>
        <w:br w:type="textWrapping"/>
      </w:r>
      <w:r>
        <w:rPr>
          <w:rFonts w:eastAsia="Calibri"/>
          <w:lang w:val="lv" w:eastAsia="zh-CN" w:bidi="ar"/>
        </w:rPr>
        <w:t>• Saimnieciskās darbības ieņēmumu un izdevumu atzīšana</w:t>
      </w:r>
      <w:r>
        <w:rPr>
          <w:rFonts w:eastAsia="Calibri"/>
          <w:lang w:val="lv" w:eastAsia="zh-CN" w:bidi="ar"/>
        </w:rPr>
        <w:br w:type="textWrapping"/>
      </w:r>
      <w:r>
        <w:rPr>
          <w:rFonts w:eastAsia="Calibri"/>
          <w:lang w:val="lv" w:eastAsia="zh-CN" w:bidi="ar"/>
        </w:rPr>
        <w:t>• Pamatlīdzekļu uzskaite un nolietojuma aprēķināšana</w:t>
      </w:r>
      <w:r>
        <w:rPr>
          <w:rFonts w:eastAsia="Calibri"/>
          <w:lang w:val="lv" w:eastAsia="zh-CN" w:bidi="ar"/>
        </w:rPr>
        <w:br w:type="textWrapping"/>
      </w:r>
      <w:r>
        <w:rPr>
          <w:rFonts w:eastAsia="Calibri"/>
          <w:lang w:val="lv" w:eastAsia="zh-CN" w:bidi="ar"/>
        </w:rPr>
        <w:t>• Daļēji uz saimniecisko darbību attiecināmi izdevumi</w:t>
      </w:r>
      <w:r>
        <w:rPr>
          <w:rFonts w:eastAsia="Calibri"/>
          <w:lang w:val="lv" w:eastAsia="zh-CN" w:bidi="ar"/>
        </w:rPr>
        <w:br w:type="textWrapping"/>
      </w:r>
      <w:r>
        <w:rPr>
          <w:rFonts w:eastAsia="Calibri"/>
          <w:lang w:val="lv" w:eastAsia="zh-CN" w:bidi="ar"/>
        </w:rPr>
        <w:t>• Gada ienākumu deklarācija</w:t>
      </w:r>
      <w:r>
        <w:rPr>
          <w:rFonts w:eastAsia="Calibri"/>
          <w:lang w:val="lv" w:eastAsia="zh-CN" w:bidi="ar"/>
        </w:rPr>
        <w:br w:type="textWrapping"/>
      </w:r>
      <w:r>
        <w:rPr>
          <w:rFonts w:eastAsia="Calibri"/>
          <w:lang w:val="lv" w:eastAsia="zh-CN" w:bidi="ar"/>
        </w:rPr>
        <w:t>4. Pašnodarbinātā valsts sociālās apdrošināšanas obligātās iemaksas</w:t>
      </w:r>
      <w:r>
        <w:rPr>
          <w:rFonts w:eastAsia="Calibri"/>
          <w:lang w:val="lv" w:eastAsia="zh-CN" w:bidi="ar"/>
        </w:rPr>
        <w:br w:type="textWrapping"/>
      </w:r>
      <w:r>
        <w:rPr>
          <w:rFonts w:eastAsia="Calibri"/>
          <w:lang w:val="lv" w:eastAsia="zh-CN" w:bidi="ar"/>
        </w:rPr>
        <w:t>• Sociālās apdrošināšanas iemaksu aprēķināšana</w:t>
      </w:r>
      <w:r>
        <w:rPr>
          <w:rFonts w:eastAsia="Calibri"/>
          <w:lang w:val="lv" w:eastAsia="zh-CN" w:bidi="ar"/>
        </w:rPr>
        <w:br w:type="textWrapping"/>
      </w:r>
      <w:r>
        <w:rPr>
          <w:rFonts w:eastAsia="Calibri"/>
          <w:lang w:val="lv" w:eastAsia="zh-CN" w:bidi="ar"/>
        </w:rPr>
        <w:t>• Vai pašnodarbinātajiem jāveic minimālās sociālās apdrošināšanas iemaksas</w:t>
      </w:r>
    </w:p>
    <w:p>
      <w:pPr>
        <w:shd w:val="clear" w:color="auto" w:fill="FFFFFF"/>
        <w:spacing w:after="300" w:line="240" w:lineRule="auto"/>
        <w:textAlignment w:val="baseline"/>
        <w:rPr>
          <w:rFonts w:eastAsia="Times New Roman"/>
          <w:b/>
          <w:bCs/>
          <w:color w:val="000000"/>
          <w:lang w:eastAsia="lv-LV"/>
        </w:rPr>
      </w:pPr>
      <w:r>
        <w:rPr>
          <w:rFonts w:eastAsia="Times New Roman"/>
          <w:b/>
          <w:bCs/>
          <w:color w:val="000000"/>
          <w:lang w:eastAsia="lv-LV"/>
        </w:rPr>
        <w:t xml:space="preserve">Semināru vadīs </w:t>
      </w:r>
      <w:r>
        <w:rPr>
          <w:rFonts w:eastAsia="New"/>
          <w:b/>
          <w:bCs/>
        </w:rPr>
        <w:t>LBTU Ekonomikas un sabiedrības attīstības fakultātes profesore INGUNA LEIBUS</w:t>
      </w:r>
    </w:p>
    <w:p>
      <w:pPr>
        <w:pStyle w:val="6"/>
        <w:numPr>
          <w:ilvl w:val="0"/>
          <w:numId w:val="1"/>
        </w:numPr>
        <w:shd w:val="clear" w:color="auto" w:fill="FFFFFF"/>
        <w:spacing w:after="0" w:line="240" w:lineRule="auto"/>
        <w:jc w:val="both"/>
        <w:textAlignment w:val="baseline"/>
        <w:rPr>
          <w:rFonts w:eastAsia="Times New Roman"/>
          <w:color w:val="000000"/>
          <w:lang w:eastAsia="lv-LV"/>
        </w:rPr>
      </w:pPr>
      <w:r>
        <w:rPr>
          <w:rFonts w:eastAsia="Times New Roman"/>
          <w:color w:val="000000"/>
          <w:lang w:eastAsia="lv-LV"/>
        </w:rPr>
        <w:t>Interesējošos jautājumus ir iespēja iesūtīt iepriekš, lai lektore atbildes uz tiem var izklāstīt semināra laikā. Jautājumus līdz 13.februārim sūtīt uz e-pastu: </w:t>
      </w:r>
      <w:bookmarkStart w:id="0" w:name="_Hlk506821627"/>
      <w:r>
        <w:rPr>
          <w:rFonts w:eastAsia="Times New Roman"/>
          <w:b/>
          <w:bCs/>
          <w:color w:val="000000"/>
          <w:lang w:eastAsia="lv-LV"/>
        </w:rPr>
        <w:t>ludzaspartneriba@inbox.lv</w:t>
      </w:r>
      <w:bookmarkEnd w:id="0"/>
      <w:r>
        <w:rPr>
          <w:rFonts w:eastAsia="Times New Roman"/>
          <w:color w:val="000000"/>
          <w:lang w:eastAsia="lv-LV"/>
        </w:rPr>
        <w:t>.</w:t>
      </w:r>
    </w:p>
    <w:p>
      <w:pPr>
        <w:shd w:val="clear" w:color="auto" w:fill="FFFFFF"/>
        <w:spacing w:after="0" w:line="240" w:lineRule="auto"/>
        <w:ind w:firstLine="720"/>
        <w:textAlignment w:val="baseline"/>
        <w:rPr>
          <w:bCs/>
        </w:rPr>
      </w:pPr>
      <w:r>
        <w:rPr>
          <w:rFonts w:eastAsia="Times New Roman"/>
          <w:bCs/>
          <w:color w:val="000000"/>
          <w:lang w:eastAsia="lv-LV"/>
        </w:rPr>
        <w:t xml:space="preserve">Pieteikšanās semināram </w:t>
      </w:r>
      <w:r>
        <w:rPr>
          <w:bCs/>
        </w:rPr>
        <w:t>aizpildot pieteikuma anketu  </w:t>
      </w:r>
      <w:r>
        <w:rPr>
          <w:bCs/>
        </w:rPr>
        <w:fldChar w:fldCharType="begin"/>
      </w:r>
      <w:r>
        <w:rPr>
          <w:bCs/>
        </w:rPr>
        <w:instrText xml:space="preserve"> HYPERLINK "https://ej.uz/nod_aktualitates" \t "https://email.inbox.lv/_blank" </w:instrText>
      </w:r>
      <w:r>
        <w:rPr>
          <w:bCs/>
        </w:rPr>
        <w:fldChar w:fldCharType="separate"/>
      </w:r>
      <w:r>
        <w:rPr>
          <w:rStyle w:val="4"/>
          <w:bCs/>
        </w:rPr>
        <w:t>https://ej.uz/nod_aktualitates</w:t>
      </w:r>
      <w:r>
        <w:rPr>
          <w:bCs/>
        </w:rPr>
        <w:fldChar w:fldCharType="end"/>
      </w:r>
    </w:p>
    <w:p>
      <w:pPr>
        <w:shd w:val="clear" w:color="auto" w:fill="FFFFFF"/>
        <w:spacing w:after="0" w:line="240" w:lineRule="auto"/>
        <w:ind w:firstLine="720"/>
        <w:textAlignment w:val="baseline"/>
        <w:rPr>
          <w:bCs/>
          <w:lang w:eastAsia="lv-LV"/>
        </w:rPr>
      </w:pPr>
    </w:p>
    <w:p>
      <w:pPr>
        <w:pStyle w:val="6"/>
        <w:numPr>
          <w:ilvl w:val="0"/>
          <w:numId w:val="2"/>
        </w:numPr>
        <w:shd w:val="clear" w:color="auto" w:fill="FFFFFF"/>
        <w:spacing w:after="300" w:line="240" w:lineRule="auto"/>
        <w:textAlignment w:val="baseline"/>
        <w:rPr>
          <w:rFonts w:eastAsia="Times New Roman"/>
          <w:bCs/>
          <w:color w:val="000000"/>
          <w:lang w:eastAsia="lv-LV"/>
        </w:rPr>
      </w:pPr>
      <w:r>
        <w:rPr>
          <w:rFonts w:eastAsia="Times New Roman"/>
          <w:bCs/>
          <w:color w:val="000000"/>
          <w:lang w:eastAsia="lv-LV"/>
        </w:rPr>
        <w:t xml:space="preserve">Seminārs ir </w:t>
      </w:r>
      <w:r>
        <w:rPr>
          <w:rFonts w:eastAsia="Times New Roman"/>
          <w:bCs/>
          <w:color w:val="000000"/>
          <w:lang w:val="en-US" w:eastAsia="lv-LV"/>
        </w:rPr>
        <w:t>bez maksas</w:t>
      </w:r>
      <w:r>
        <w:rPr>
          <w:rFonts w:eastAsia="Times New Roman"/>
          <w:bCs/>
          <w:color w:val="000000"/>
          <w:lang w:eastAsia="lv-LV"/>
        </w:rPr>
        <w:t>.</w:t>
      </w:r>
    </w:p>
    <w:p>
      <w:pPr>
        <w:numPr>
          <w:ilvl w:val="0"/>
          <w:numId w:val="2"/>
        </w:numPr>
        <w:shd w:val="clear" w:color="auto" w:fill="FFFFFF"/>
        <w:spacing w:after="0" w:line="240" w:lineRule="auto"/>
        <w:jc w:val="both"/>
        <w:textAlignment w:val="baseline"/>
        <w:rPr>
          <w:bCs/>
        </w:rPr>
      </w:pPr>
      <w:r>
        <w:rPr>
          <w:rFonts w:eastAsia="Times New Roman"/>
          <w:bCs/>
          <w:color w:val="000000"/>
          <w:lang w:eastAsia="lv-LV"/>
        </w:rPr>
        <w:t>Informācija pa tālruni  29413335 (Sandra) vai </w:t>
      </w:r>
      <w:r>
        <w:rPr>
          <w:bCs/>
        </w:rPr>
        <w:t>29550874</w:t>
      </w:r>
      <w:r>
        <w:rPr>
          <w:rFonts w:eastAsia="Times New Roman"/>
          <w:bCs/>
          <w:color w:val="000000"/>
          <w:lang w:eastAsia="lv-LV"/>
        </w:rPr>
        <w:t> (Vija), rakstot e-pastu  </w:t>
      </w:r>
      <w:r>
        <w:rPr>
          <w:bCs/>
        </w:rPr>
        <w:fldChar w:fldCharType="begin"/>
      </w:r>
      <w:r>
        <w:rPr>
          <w:bCs/>
        </w:rPr>
        <w:instrText xml:space="preserve">HYPERLINK "mailto:ludzaspartneriba@inbox.lv"</w:instrText>
      </w:r>
      <w:r>
        <w:rPr>
          <w:bCs/>
        </w:rPr>
        <w:fldChar w:fldCharType="separate"/>
      </w:r>
      <w:r>
        <w:rPr>
          <w:rStyle w:val="4"/>
          <w:rFonts w:eastAsia="Times New Roman"/>
          <w:bCs/>
          <w:lang w:eastAsia="lv-LV"/>
        </w:rPr>
        <w:t>ludzaspartneriba@inbox.lv</w:t>
      </w:r>
      <w:r>
        <w:rPr>
          <w:bCs/>
        </w:rPr>
        <w:fldChar w:fldCharType="end"/>
      </w:r>
    </w:p>
    <w:p>
      <w:pPr>
        <w:shd w:val="clear" w:color="auto" w:fill="FFFFFF"/>
        <w:spacing w:after="0" w:line="240" w:lineRule="auto"/>
        <w:ind w:left="360"/>
        <w:jc w:val="both"/>
        <w:textAlignment w:val="baseline"/>
        <w:rPr>
          <w:bCs/>
        </w:rPr>
      </w:pPr>
    </w:p>
    <w:p>
      <w:pPr>
        <w:shd w:val="clear" w:color="auto" w:fill="FFFFFF"/>
        <w:spacing w:after="0" w:line="240" w:lineRule="auto"/>
        <w:ind w:left="360"/>
        <w:jc w:val="both"/>
        <w:textAlignment w:val="baseline"/>
        <w:rPr>
          <w:rFonts w:eastAsia="Times New Roman"/>
          <w:color w:val="000000"/>
          <w:sz w:val="24"/>
          <w:szCs w:val="24"/>
          <w:lang w:eastAsia="lv-LV"/>
        </w:rPr>
      </w:pPr>
      <w:r>
        <w:rPr>
          <w:sz w:val="20"/>
          <w:szCs w:val="20"/>
        </w:rPr>
        <w:t>Seminārs tiek rīkots ar Kopējās lauksaimniecības politikas stratēģiskā plāna 2023.–2027. gadam intervencē "Darbību īstenošana saskaņā ar vietējās attīstības stratēģiju, tostarp sadarbības aktivitātes un to sagatavošanu" projekta BDR "Ludzas rajona partnerība" darbības nodrošināšana, iedzīvināšanas pārvaldība</w:t>
      </w:r>
      <w:r>
        <w:rPr>
          <w:b/>
          <w:bCs/>
          <w:sz w:val="20"/>
          <w:szCs w:val="20"/>
        </w:rPr>
        <w:t xml:space="preserve"> (</w:t>
      </w:r>
      <w:r>
        <w:rPr>
          <w:sz w:val="20"/>
          <w:szCs w:val="20"/>
        </w:rPr>
        <w:t>23-00-C0LA19.4-000021) atbalstu.</w:t>
      </w:r>
    </w:p>
    <w:p>
      <w:pPr>
        <w:pStyle w:val="6"/>
        <w:shd w:val="clear" w:color="auto" w:fill="FFFFFF"/>
        <w:spacing w:after="300" w:line="240" w:lineRule="auto"/>
        <w:textAlignment w:val="baseline"/>
        <w:rPr>
          <w:rFonts w:ascii="SimSun" w:hAnsi="SimSun" w:cs="SimSun"/>
          <w:sz w:val="24"/>
          <w:szCs w:val="24"/>
        </w:rPr>
      </w:pPr>
    </w:p>
    <w:p>
      <w:pPr>
        <w:pStyle w:val="6"/>
        <w:shd w:val="clear" w:color="auto" w:fill="FFFFFF"/>
        <w:spacing w:after="300" w:line="240" w:lineRule="auto"/>
        <w:textAlignment w:val="baseline"/>
        <w:rPr>
          <w:rFonts w:ascii="SimSun" w:hAnsi="SimSun" w:cs="SimSun"/>
          <w:sz w:val="24"/>
          <w:szCs w:val="24"/>
        </w:rPr>
      </w:pPr>
    </w:p>
    <w:p>
      <w:pPr>
        <w:pStyle w:val="6"/>
        <w:shd w:val="clear" w:color="auto" w:fill="FFFFFF"/>
        <w:spacing w:after="300" w:line="240" w:lineRule="auto"/>
        <w:jc w:val="center"/>
        <w:textAlignment w:val="baseline"/>
        <w:rPr>
          <w:rFonts w:eastAsia="Times New Roman"/>
          <w:color w:val="000000"/>
          <w:sz w:val="24"/>
          <w:szCs w:val="24"/>
          <w:lang w:eastAsia="lv-LV"/>
        </w:rPr>
      </w:pPr>
      <w:r>
        <w:rPr>
          <w:rFonts w:eastAsia="Times New Roman"/>
          <w:color w:val="000000"/>
          <w:sz w:val="24"/>
          <w:szCs w:val="24"/>
          <w:lang w:eastAsia="lv-LV"/>
        </w:rPr>
        <w:drawing>
          <wp:inline distT="0" distB="0" distL="114300" distR="114300">
            <wp:extent cx="2637790" cy="857250"/>
            <wp:effectExtent l="0" t="0" r="10160" b="0"/>
            <wp:docPr id="1" name="Picture 4" descr="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inda"/>
                    <pic:cNvPicPr>
                      <a:picLocks noChangeAspect="1"/>
                    </pic:cNvPicPr>
                  </pic:nvPicPr>
                  <pic:blipFill>
                    <a:blip r:embed="rId6"/>
                    <a:stretch>
                      <a:fillRect/>
                    </a:stretch>
                  </pic:blipFill>
                  <pic:spPr>
                    <a:xfrm>
                      <a:off x="0" y="0"/>
                      <a:ext cx="2637790" cy="857250"/>
                    </a:xfrm>
                    <a:prstGeom prst="rect">
                      <a:avLst/>
                    </a:prstGeom>
                    <a:noFill/>
                    <a:ln>
                      <a:noFill/>
                    </a:ln>
                  </pic:spPr>
                </pic:pic>
              </a:graphicData>
            </a:graphic>
          </wp:inline>
        </w:drawing>
      </w:r>
    </w:p>
    <w:sectPr>
      <w:pgSz w:w="11906" w:h="16838"/>
      <w:pgMar w:top="816" w:right="1519" w:bottom="816" w:left="1519" w:header="708"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BA"/>
    <w:family w:val="swiss"/>
    <w:pitch w:val="default"/>
    <w:sig w:usb0="E00002FF" w:usb1="4000ACFF" w:usb2="00000001" w:usb3="00000000" w:csb0="2000019F" w:csb1="00000000"/>
  </w:font>
  <w:font w:name="New">
    <w:altName w:val="Angsana New"/>
    <w:panose1 w:val="00000000000000000000"/>
    <w:charset w:val="00"/>
    <w:family w:val="auto"/>
    <w:pitch w:val="default"/>
    <w:sig w:usb0="00000000" w:usb1="00000000" w:usb2="00000000" w:usb3="00000000" w:csb0="00040001"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2624F"/>
    <w:multiLevelType w:val="multilevel"/>
    <w:tmpl w:val="565262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A955BD"/>
    <w:multiLevelType w:val="multilevel"/>
    <w:tmpl w:val="61A955B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3C"/>
    <w:rsid w:val="000705F0"/>
    <w:rsid w:val="000841E1"/>
    <w:rsid w:val="001F460F"/>
    <w:rsid w:val="002313EB"/>
    <w:rsid w:val="002E6579"/>
    <w:rsid w:val="00387740"/>
    <w:rsid w:val="003F08AC"/>
    <w:rsid w:val="004906DB"/>
    <w:rsid w:val="004C4D0C"/>
    <w:rsid w:val="005E00F9"/>
    <w:rsid w:val="00621655"/>
    <w:rsid w:val="006C0BBA"/>
    <w:rsid w:val="007C1B2A"/>
    <w:rsid w:val="00905A3C"/>
    <w:rsid w:val="009E594D"/>
    <w:rsid w:val="00A56B57"/>
    <w:rsid w:val="00A952B3"/>
    <w:rsid w:val="00B42201"/>
    <w:rsid w:val="00B61041"/>
    <w:rsid w:val="00BF389C"/>
    <w:rsid w:val="00C46B9B"/>
    <w:rsid w:val="00C81267"/>
    <w:rsid w:val="00EE48A6"/>
    <w:rsid w:val="00F92F55"/>
    <w:rsid w:val="0C6A57F7"/>
    <w:rsid w:val="0F142708"/>
    <w:rsid w:val="105E7098"/>
    <w:rsid w:val="15AE2D22"/>
    <w:rsid w:val="16FC5817"/>
    <w:rsid w:val="1ED553B3"/>
    <w:rsid w:val="29436CD7"/>
    <w:rsid w:val="303C2C32"/>
    <w:rsid w:val="46AE24EA"/>
    <w:rsid w:val="5F3A6F13"/>
    <w:rsid w:val="738732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sz w:val="22"/>
      <w:szCs w:val="22"/>
      <w:lang w:val="lv-LV" w:eastAsia="en-US" w:bidi="ar-SA"/>
    </w:rPr>
  </w:style>
  <w:style w:type="character" w:default="1" w:styleId="2">
    <w:name w:val="Default Paragraph Font"/>
    <w:unhideWhenUsed/>
    <w:uiPriority w:val="1"/>
  </w:style>
  <w:style w:type="table" w:default="1" w:styleId="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Times New Roman" w:cs="Times New Roman"/>
      <w:sz w:val="22"/>
      <w:szCs w:val="22"/>
    </w:rPr>
    <w:tblPr>
      <w:tblStyle w:val="3"/>
      <w:tblCellMar>
        <w:top w:w="0" w:type="dxa"/>
        <w:left w:w="100" w:type="dxa"/>
        <w:bottom w:w="0" w:type="dxa"/>
        <w:right w:w="100" w:type="dxa"/>
      </w:tblCellMar>
    </w:tblPr>
  </w:style>
  <w:style w:type="character" w:styleId="4">
    <w:name w:val="Hyperlink"/>
    <w:unhideWhenUsed/>
    <w:uiPriority w:val="99"/>
    <w:rPr>
      <w:color w:val="0563C1"/>
      <w:u w:val="single"/>
    </w:rPr>
  </w:style>
  <w:style w:type="paragraph" w:customStyle="1" w:styleId="5">
    <w:name w:val="msonormal_804d7de8fd46f06a46511c7c60d1535e"/>
    <w:basedOn w:val="1"/>
    <w:uiPriority w:val="0"/>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6">
    <w:name w:val="List Paragraph"/>
    <w:basedOn w:val="1"/>
    <w:qFormat/>
    <w:uiPriority w:val="34"/>
    <w:pPr>
      <w:spacing w:after="160" w:line="259" w:lineRule="auto"/>
      <w:ind w:left="720"/>
      <w:contextualSpacing/>
    </w:pPr>
  </w:style>
  <w:style w:type="character" w:customStyle="1" w:styleId="7">
    <w:name w:val="markedconten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2030</Characters>
  <Lines>16</Lines>
  <Paragraphs>4</Paragraphs>
  <TotalTime>0</TotalTime>
  <ScaleCrop>false</ScaleCrop>
  <LinksUpToDate>false</LinksUpToDate>
  <CharactersWithSpaces>2381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2021-01-06T18:59:00Z</dcterms:created>
  <dc:creator>Sandra</dc:creator>
  <cp:lastModifiedBy>User</cp:lastModifiedBy>
  <dcterms:modified xsi:type="dcterms:W3CDTF">2024-02-06T12:14:45Z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F7818B5B2D6C48FD9D4F5ED6A25C3023_13</vt:lpwstr>
  </property>
</Properties>
</file>